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F8C" w:rsidRDefault="002A1F8C">
      <w:pPr>
        <w:pStyle w:val="normal"/>
        <w:rPr>
          <w:rFonts w:ascii="Arial" w:eastAsia="Arial" w:hAnsi="Arial" w:cs="Arial"/>
          <w:i/>
          <w:sz w:val="16"/>
          <w:szCs w:val="16"/>
        </w:rPr>
      </w:pPr>
    </w:p>
    <w:p w:rsidR="002A1F8C" w:rsidRDefault="00FD1681">
      <w:pPr>
        <w:pStyle w:val="normal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NOI CITTADINI IN UN MONDO GLOBALIZZATO</w:t>
      </w: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079"/>
      </w:tblGrid>
      <w:tr w:rsidR="002A1F8C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2A1F8C" w:rsidRDefault="002A1F8C">
            <w:pPr>
              <w:pStyle w:val="normal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2A1F8C" w:rsidRDefault="00FD1681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MATEMATICA</w:t>
            </w:r>
          </w:p>
          <w:p w:rsidR="002A1F8C" w:rsidRDefault="00FD1681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2A1F8C" w:rsidRDefault="00FD1681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Periodo: febbraio - marzo</w:t>
            </w:r>
          </w:p>
          <w:p w:rsidR="002A1F8C" w:rsidRDefault="00FD1681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UNITA’ D’APPRENDIMENTO</w:t>
            </w:r>
          </w:p>
          <w:p w:rsidR="002A1F8C" w:rsidRDefault="00FD1681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 w:rsidR="00415D69">
              <w:rPr>
                <w:rFonts w:ascii="Arial" w:eastAsia="Arial" w:hAnsi="Arial" w:cs="Arial"/>
                <w:i/>
                <w:sz w:val="22"/>
                <w:szCs w:val="22"/>
              </w:rPr>
              <w:t>Cittadini di domani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consapevoli, responsabili, attivi nella costruzione di un mondo migliore</w:t>
            </w:r>
          </w:p>
          <w:p w:rsidR="002A1F8C" w:rsidRDefault="002A1F8C">
            <w:pPr>
              <w:pStyle w:val="normal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2A1F8C" w:rsidRDefault="002A1F8C">
            <w:pPr>
              <w:pStyle w:val="normal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2A1F8C" w:rsidRDefault="00FD1681">
            <w:pPr>
              <w:pStyle w:val="normal"/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sz w:val="24"/>
                <w:szCs w:val="24"/>
              </w:rPr>
              <w:t>TITOLO: Legalità e interculturalità nel mondo globalizzato</w:t>
            </w:r>
          </w:p>
        </w:tc>
      </w:tr>
      <w:tr w:rsidR="002A1F8C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:rsidR="002A1F8C" w:rsidRDefault="002A1F8C">
            <w:pPr>
              <w:pStyle w:val="normal"/>
            </w:pPr>
          </w:p>
          <w:p w:rsidR="002A1F8C" w:rsidRDefault="00FD1681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2A1F8C" w:rsidRDefault="00FD1681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2A1F8C" w:rsidRDefault="002A1F8C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2A1F8C" w:rsidRDefault="002A1F8C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2A1F8C" w:rsidRDefault="002A1F8C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2A1F8C" w:rsidRDefault="002A1F8C">
            <w:pPr>
              <w:pStyle w:val="normal"/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:rsidR="002A1F8C" w:rsidRDefault="002A1F8C">
            <w:pPr>
              <w:pStyle w:val="normal"/>
              <w:rPr>
                <w:sz w:val="22"/>
                <w:szCs w:val="22"/>
              </w:rPr>
            </w:pPr>
          </w:p>
          <w:p w:rsidR="002A1F8C" w:rsidRDefault="00FD1681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415D69">
              <w:rPr>
                <w:rFonts w:ascii="Arial" w:eastAsia="Arial" w:hAnsi="Arial" w:cs="Arial"/>
                <w:sz w:val="22"/>
                <w:szCs w:val="22"/>
              </w:rPr>
              <w:t xml:space="preserve"> 2023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/ 202</w:t>
            </w:r>
            <w:r w:rsidR="00415D69"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  <w:p w:rsidR="002A1F8C" w:rsidRDefault="002A1F8C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2A1F8C" w:rsidRDefault="00FD1681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2A1F8C" w:rsidRDefault="002A1F8C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2A1F8C" w:rsidRDefault="00FD1681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terza</w:t>
            </w:r>
          </w:p>
          <w:p w:rsidR="002A1F8C" w:rsidRDefault="002A1F8C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2A1F8C" w:rsidRDefault="00FD1681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III</w:t>
            </w:r>
            <w:r>
              <w:rPr>
                <w:rFonts w:ascii="Arial" w:eastAsia="Arial" w:hAnsi="Arial" w:cs="Arial"/>
                <w:sz w:val="22"/>
                <w:szCs w:val="22"/>
              </w:rPr>
              <w:t>_ sez. ______</w:t>
            </w:r>
          </w:p>
          <w:p w:rsidR="002A1F8C" w:rsidRDefault="002A1F8C">
            <w:pPr>
              <w:pStyle w:val="normal"/>
            </w:pPr>
          </w:p>
        </w:tc>
      </w:tr>
    </w:tbl>
    <w:p w:rsidR="002A1F8C" w:rsidRDefault="002A1F8C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0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6"/>
        <w:gridCol w:w="6110"/>
      </w:tblGrid>
      <w:tr w:rsidR="002A1F8C">
        <w:trPr>
          <w:trHeight w:val="425"/>
        </w:trPr>
        <w:tc>
          <w:tcPr>
            <w:tcW w:w="10086" w:type="dxa"/>
            <w:gridSpan w:val="2"/>
            <w:vAlign w:val="center"/>
          </w:tcPr>
          <w:p w:rsidR="002A1F8C" w:rsidRDefault="00FD1681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DISCIPLINA: MATEMATICA  </w:t>
            </w:r>
          </w:p>
        </w:tc>
      </w:tr>
      <w:tr w:rsidR="002A1F8C" w:rsidTr="00415D69">
        <w:trPr>
          <w:trHeight w:val="3014"/>
        </w:trPr>
        <w:tc>
          <w:tcPr>
            <w:tcW w:w="3976" w:type="dxa"/>
            <w:vMerge w:val="restart"/>
          </w:tcPr>
          <w:p w:rsidR="00415D69" w:rsidRPr="0062349C" w:rsidRDefault="00415D69" w:rsidP="00415D69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una cultura dell’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nelle attività in modo pertinente;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strategie e il metodo;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personale; rispettare sé e gli altri;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 coscienza delle dinamiche psicofisiche e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affettive legate all’affermazione della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personalità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Esprimere adeguatamente le proprie emozioni,</w:t>
            </w:r>
          </w:p>
          <w:p w:rsidR="00415D69" w:rsidRDefault="00415D69" w:rsidP="00415D69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riconoscere quelle altrui nel rispetto degli altri 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propria privacy;</w:t>
            </w:r>
            <w:r w:rsidRPr="0062349C">
              <w:t xml:space="preserve"> 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culturale di riferimento, cogliendo similitudini e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differenze rispetto ad altri luoghi studiati;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Comprendere il significato valoriale dei messaggi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veicolari;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Intervenire per segnalare abusi di qualunque tipo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anche quelli presenti in rete.</w:t>
            </w:r>
          </w:p>
          <w:p w:rsidR="00415D69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Relazione con gli altri: etica della responsabilità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E’ disposto a riflettere su di sé, su comportamenti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positivi verso sé e gli altri con l’uso di un linguaggio non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ostile;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Acquisisce come valori normativi i principi di libertà,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giustizia, solidarietà, accettazione;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come necessarie e rispetta le regole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convivenza civile;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responsabilità partecipativa alla vita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democratica e alla risoluzione dei problemi;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atteggiamenti di tutela per sé e per gli altri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per il bene collettivo;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la salute come un bene sociale;</w:t>
            </w:r>
          </w:p>
          <w:p w:rsidR="00415D69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Traduce norme igieniche in comportamenti appropriati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 la salvaguardia della salute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 atteggiamenti di tutela per sé e per gli altri per il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bene collettivo;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orientarsi sul “valore” e sulla gestione del denaro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415D69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lastRenderedPageBreak/>
              <w:t>Contrasta la cultura dell’abuso e della “dipendenza”.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il testo e i contenuti valoriali degli inni nazionali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dei paesi europei in cui si parlano le lingue studiate;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gli elementi costitutivi e valoriali della Carta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Costituzionale e di quella dell’U.E.;</w:t>
            </w:r>
          </w:p>
          <w:p w:rsidR="00415D69" w:rsidRDefault="00415D69" w:rsidP="00415D69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 principali provvedimenti, adottati dallo Stato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italiano e dalle amministrazioni locali del proprio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territorio, rispetto all’inquinamento ambientale e al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risparmio energetico;</w:t>
            </w:r>
            <w:r w:rsidRPr="0062349C">
              <w:t xml:space="preserve"> 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riconoscere le fonti energetiche e promuove un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atteggiamento critico e razionale nel loro utilizzo e sa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Matura autonomia di giudizio nei confronti delle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problematiche politiche, economiche, socio-culturali,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ambientali e ne elabora ipotesi di intervento;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Individua le maggiori problematiche dell’ambiente in cui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vive ed elabora ipotesi di intervento;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le caratteristiche delle organizzazioni mafiose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malavitose e le strategie attuate dagli Stati per il loro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contrasto;</w:t>
            </w:r>
          </w:p>
          <w:p w:rsidR="00415D69" w:rsidRPr="0062349C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la biografia di uomini illustri che hanno speso 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loro vita per il contrasto alle mafie;</w:t>
            </w:r>
          </w:p>
          <w:p w:rsidR="002A1F8C" w:rsidRDefault="00415D69" w:rsidP="00415D69">
            <w:pPr>
              <w:pStyle w:val="normal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Possiede capacità tecniche di base per l’uso delle TIC 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utilizza per eseguire un compito.</w:t>
            </w:r>
          </w:p>
        </w:tc>
        <w:tc>
          <w:tcPr>
            <w:tcW w:w="6110" w:type="dxa"/>
          </w:tcPr>
          <w:p w:rsidR="002A1F8C" w:rsidRDefault="002A1F8C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A1F8C" w:rsidRDefault="00FD1681">
            <w:pPr>
              <w:pStyle w:val="normal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2A1F8C" w:rsidRDefault="00FD168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si muove con sicurezza nel calcolo letterale e nell'insieme dei relativi</w:t>
            </w:r>
          </w:p>
          <w:p w:rsidR="002A1F8C" w:rsidRDefault="00FD168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risolve problemi in contesti diversi valutando le informazioni e la loro coerenza.</w:t>
            </w:r>
          </w:p>
          <w:p w:rsidR="002A1F8C" w:rsidRDefault="00FD168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-Spiega il procedimento seguito, anche in forma scritta, mantenendo il contr</w:t>
            </w:r>
            <w:r>
              <w:rPr>
                <w:rFonts w:ascii="Arial" w:eastAsia="Arial" w:hAnsi="Arial" w:cs="Arial"/>
                <w:sz w:val="16"/>
                <w:szCs w:val="16"/>
              </w:rPr>
              <w:t>ollo sia sul processo risolutivo, sia sui risultati.</w:t>
            </w:r>
          </w:p>
          <w:p w:rsidR="002A1F8C" w:rsidRDefault="00FD168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-Produce argomentazioni in base alle conoscenze teoriche acquisite (ad esempio sa utilizzare i concetti di proprietà caratterizzante e di definizione)</w:t>
            </w:r>
          </w:p>
          <w:p w:rsidR="002A1F8C" w:rsidRDefault="00FD168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-Sostiene le proprie convinzioni, portando esempi 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controesempi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adeguati e utilizzando concatenazioni di affermazioni; accetta di cambiare opinione riconoscendo le conseguenze logiche di un’argomentazione corretta.</w:t>
            </w:r>
          </w:p>
          <w:p w:rsidR="002A1F8C" w:rsidRDefault="00FD168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rafforzato un atteggiamento positivo rispetto alla matematica attraverso esperienze sign</w:t>
            </w:r>
            <w:r>
              <w:rPr>
                <w:rFonts w:ascii="Arial" w:eastAsia="Arial" w:hAnsi="Arial" w:cs="Arial"/>
                <w:sz w:val="16"/>
                <w:szCs w:val="16"/>
              </w:rPr>
              <w:t>ificative e ha capito come gli strumenti matematici appresi siano utili in molte situazioni per operare nella realtà</w:t>
            </w:r>
          </w:p>
          <w:p w:rsidR="002A1F8C" w:rsidRDefault="00FD168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denomina le forme del piano e dello spazio, le loro rappresentazioni e ne coglie le relazioni tra elementi.</w:t>
            </w:r>
          </w:p>
          <w:p w:rsidR="002A1F8C" w:rsidRDefault="002A1F8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1F8C" w:rsidTr="00415D69">
        <w:trPr>
          <w:trHeight w:val="3543"/>
        </w:trPr>
        <w:tc>
          <w:tcPr>
            <w:tcW w:w="3976" w:type="dxa"/>
            <w:vMerge/>
          </w:tcPr>
          <w:p w:rsidR="002A1F8C" w:rsidRDefault="002A1F8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110" w:type="dxa"/>
          </w:tcPr>
          <w:p w:rsidR="002A1F8C" w:rsidRDefault="002A1F8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A1F8C" w:rsidRDefault="00FD1681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2A1F8C" w:rsidRDefault="00FD1681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Monomi e polinomi</w:t>
            </w:r>
          </w:p>
          <w:p w:rsidR="002A1F8C" w:rsidRDefault="00FD1681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Geometria nello spazio</w:t>
            </w:r>
          </w:p>
          <w:p w:rsidR="002A1F8C" w:rsidRDefault="00FD1681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Poliedri</w:t>
            </w:r>
          </w:p>
          <w:p w:rsidR="002A1F8C" w:rsidRDefault="00FD1681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Solidi equivalenti</w:t>
            </w:r>
          </w:p>
          <w:p w:rsidR="002A1F8C" w:rsidRDefault="002A1F8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2A1F8C" w:rsidRDefault="00FD1681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Abilità:</w:t>
            </w:r>
          </w:p>
          <w:p w:rsidR="002A1F8C" w:rsidRDefault="00FD1681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Operare con i monomi e i polinomi</w:t>
            </w:r>
          </w:p>
          <w:p w:rsidR="002A1F8C" w:rsidRDefault="00FD1681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Calcolare l’area della superficie, il volume e il peso dei poliedri</w:t>
            </w:r>
          </w:p>
          <w:p w:rsidR="002A1F8C" w:rsidRDefault="00FD1681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Rappresentare figure tridimensionali tramite disegni sul piano</w:t>
            </w:r>
          </w:p>
          <w:p w:rsidR="002A1F8C" w:rsidRDefault="00FD1681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Risolvere problemi nei contesti d'uso</w:t>
            </w:r>
          </w:p>
          <w:p w:rsidR="002A1F8C" w:rsidRDefault="002A1F8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1F8C" w:rsidTr="00415D69">
        <w:trPr>
          <w:trHeight w:val="688"/>
        </w:trPr>
        <w:tc>
          <w:tcPr>
            <w:tcW w:w="3976" w:type="dxa"/>
          </w:tcPr>
          <w:p w:rsidR="002A1F8C" w:rsidRDefault="002A1F8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A1F8C" w:rsidRDefault="00FD1681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   ATTIVITA’</w:t>
            </w:r>
          </w:p>
        </w:tc>
        <w:tc>
          <w:tcPr>
            <w:tcW w:w="6110" w:type="dxa"/>
          </w:tcPr>
          <w:p w:rsidR="002A1F8C" w:rsidRDefault="002A1F8C">
            <w:pPr>
              <w:pStyle w:val="normal"/>
              <w:ind w:left="142"/>
              <w:rPr>
                <w:rFonts w:ascii="Arial" w:eastAsia="Arial" w:hAnsi="Arial" w:cs="Arial"/>
                <w:sz w:val="16"/>
                <w:szCs w:val="16"/>
              </w:rPr>
            </w:pPr>
          </w:p>
          <w:p w:rsidR="00415D69" w:rsidRDefault="00415D69">
            <w:pPr>
              <w:pStyle w:val="normal"/>
              <w:ind w:left="1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problemi; 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segno geometrico ;d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2A1F8C" w:rsidTr="00415D69">
        <w:trPr>
          <w:trHeight w:val="436"/>
        </w:trPr>
        <w:tc>
          <w:tcPr>
            <w:tcW w:w="3976" w:type="dxa"/>
          </w:tcPr>
          <w:p w:rsidR="002A1F8C" w:rsidRDefault="002A1F8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A1F8C" w:rsidRDefault="00FD1681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110" w:type="dxa"/>
          </w:tcPr>
          <w:p w:rsidR="002A1F8C" w:rsidRDefault="002A1F8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415D69" w:rsidRPr="00917EB4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415D69" w:rsidRDefault="00415D69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2A1F8C" w:rsidRDefault="002A1F8C" w:rsidP="00415D69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1F8C" w:rsidTr="00415D69">
        <w:trPr>
          <w:trHeight w:val="808"/>
        </w:trPr>
        <w:tc>
          <w:tcPr>
            <w:tcW w:w="3976" w:type="dxa"/>
          </w:tcPr>
          <w:p w:rsidR="002A1F8C" w:rsidRDefault="002A1F8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A1F8C" w:rsidRDefault="00FD1681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2A1F8C" w:rsidRDefault="00FD168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110" w:type="dxa"/>
          </w:tcPr>
          <w:p w:rsidR="002A1F8C" w:rsidRDefault="002A1F8C">
            <w:pPr>
              <w:pStyle w:val="normal"/>
              <w:ind w:left="72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15D69" w:rsidRDefault="00415D69" w:rsidP="00415D69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gruppo, prova com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ne di raccordo per classi parallele.</w:t>
            </w:r>
          </w:p>
          <w:p w:rsidR="002A1F8C" w:rsidRDefault="002A1F8C">
            <w:pPr>
              <w:pStyle w:val="normal"/>
              <w:ind w:left="179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2A1F8C" w:rsidRDefault="002A1F8C">
      <w:pPr>
        <w:pStyle w:val="normal"/>
        <w:rPr>
          <w:rFonts w:ascii="Arial" w:eastAsia="Arial" w:hAnsi="Arial" w:cs="Arial"/>
          <w:sz w:val="18"/>
          <w:szCs w:val="18"/>
        </w:rPr>
      </w:pPr>
    </w:p>
    <w:p w:rsidR="002A1F8C" w:rsidRDefault="002A1F8C">
      <w:pPr>
        <w:pStyle w:val="normal"/>
        <w:rPr>
          <w:rFonts w:ascii="Arial" w:eastAsia="Arial" w:hAnsi="Arial" w:cs="Arial"/>
          <w:sz w:val="18"/>
          <w:szCs w:val="18"/>
        </w:rPr>
      </w:pPr>
    </w:p>
    <w:p w:rsidR="002A1F8C" w:rsidRDefault="00FD1681">
      <w:pPr>
        <w:pStyle w:val="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2A1F8C" w:rsidSect="002A1F8C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681" w:rsidRDefault="00FD1681" w:rsidP="002A1F8C">
      <w:r>
        <w:separator/>
      </w:r>
    </w:p>
  </w:endnote>
  <w:endnote w:type="continuationSeparator" w:id="0">
    <w:p w:rsidR="00FD1681" w:rsidRDefault="00FD1681" w:rsidP="002A1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8C" w:rsidRDefault="00FD1681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139700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139700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681" w:rsidRDefault="00FD1681" w:rsidP="002A1F8C">
      <w:r>
        <w:separator/>
      </w:r>
    </w:p>
  </w:footnote>
  <w:footnote w:type="continuationSeparator" w:id="0">
    <w:p w:rsidR="00FD1681" w:rsidRDefault="00FD1681" w:rsidP="002A1F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8C" w:rsidRDefault="00FD1681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 w:rsidR="00415D69">
      <w:rPr>
        <w:color w:val="000000"/>
      </w:rPr>
      <w:t xml:space="preserve"> AV – A.S. 2023</w:t>
    </w:r>
    <w:r>
      <w:rPr>
        <w:color w:val="000000"/>
      </w:rPr>
      <w:t xml:space="preserve"> – 202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  <w:r w:rsidR="00415D69">
      <w:rPr>
        <w:color w:val="000000"/>
      </w:rPr>
      <w:t>4</w:t>
    </w:r>
  </w:p>
  <w:p w:rsidR="002A1F8C" w:rsidRDefault="002A1F8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139B8"/>
    <w:multiLevelType w:val="multilevel"/>
    <w:tmpl w:val="1AB27F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F1A7D73"/>
    <w:multiLevelType w:val="multilevel"/>
    <w:tmpl w:val="F260F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F8C"/>
    <w:rsid w:val="002A1F8C"/>
    <w:rsid w:val="00415D69"/>
    <w:rsid w:val="00FD1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2A1F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2A1F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2A1F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2A1F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2A1F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2A1F8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2A1F8C"/>
  </w:style>
  <w:style w:type="table" w:customStyle="1" w:styleId="TableNormal">
    <w:name w:val="Table Normal"/>
    <w:rsid w:val="002A1F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2A1F8C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2A1F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A1F8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2A1F8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415D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15D69"/>
  </w:style>
  <w:style w:type="paragraph" w:styleId="Pidipagina">
    <w:name w:val="footer"/>
    <w:basedOn w:val="Normale"/>
    <w:link w:val="PidipaginaCarattere"/>
    <w:uiPriority w:val="99"/>
    <w:semiHidden/>
    <w:unhideWhenUsed/>
    <w:rsid w:val="00415D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15D6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900</Words>
  <Characters>5134</Characters>
  <Application>Microsoft Office Word</Application>
  <DocSecurity>0</DocSecurity>
  <Lines>42</Lines>
  <Paragraphs>12</Paragraphs>
  <ScaleCrop>false</ScaleCrop>
  <Company/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2</cp:revision>
  <dcterms:created xsi:type="dcterms:W3CDTF">2023-09-22T20:08:00Z</dcterms:created>
  <dcterms:modified xsi:type="dcterms:W3CDTF">2023-09-22T20:32:00Z</dcterms:modified>
</cp:coreProperties>
</file>