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UNITI NELLA DIVERSITA’ PER VIVERE IN EUROPA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Ind w:w="-70.0" w:type="dxa"/>
        <w:tblLayout w:type="fixed"/>
        <w:tblLook w:val="0400"/>
      </w:tblPr>
      <w:tblGrid>
        <w:gridCol w:w="2320"/>
        <w:gridCol w:w="7318"/>
        <w:tblGridChange w:id="0">
          <w:tblGrid>
            <w:gridCol w:w="2320"/>
            <w:gridCol w:w="7318"/>
          </w:tblGrid>
        </w:tblGridChange>
      </w:tblGrid>
      <w:tr>
        <w:trPr>
          <w:cantSplit w:val="0"/>
          <w:trHeight w:val="1331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                                                                                                   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 EDUCAZIONE CIVICA 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                                                                                                  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U. di A. disciplinare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                                                                                  Periodo: DICEMBRE 2023-GENNAIO 2024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UNITA’ D’APPRENDIMENTO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Identità, valori e appartenenza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TITOLO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:  “Io cittadino in Europa”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   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DATI </w:t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IDENTIFICATIVI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br w:type="textWrapping"/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2023 / 2024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6"/>
                <w:szCs w:val="16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AV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Gruppo classe seconda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 _______________________________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__ sez. 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-115.0" w:type="dxa"/>
        <w:tblLayout w:type="fixed"/>
        <w:tblLook w:val="0400"/>
      </w:tblPr>
      <w:tblGrid>
        <w:gridCol w:w="3376"/>
        <w:gridCol w:w="6252"/>
        <w:tblGridChange w:id="0">
          <w:tblGrid>
            <w:gridCol w:w="3376"/>
            <w:gridCol w:w="6252"/>
          </w:tblGrid>
        </w:tblGridChange>
      </w:tblGrid>
      <w:tr>
        <w:trPr>
          <w:cantSplit w:val="0"/>
          <w:trHeight w:val="23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DISCIPLINA: EDUCAZIONE CIVICA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Ambito: Costruzione e realizzazione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Organizzare il proprio apprendimento definendone le 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Ambito: 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Essere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Riconoscere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Sapersi 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Ambito: 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Saper classificare i rifiuti sviluppando l’attività di riciclaggio;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le caratteristiche delle organizzazioni mafiose e malavitose e le strategie attuate dagli Stati per il loro contrasto;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la biografia di uomini illustri che hanno speso la loro vita per il contrasto alle mafie;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Possedere capacità tecniche di base per l’uso delle TIC e saperle utilizzare per eseguire un compito.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Comprendere il significato valoriale dei messaggi veicolari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Essere disposto a riflettere su di sé, su comportamenti positivi verso sé e gli altri con l’uso di un linguaggio non ostile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Intervenire per segnalare qualsiasi abuso anche quelli presenti in rete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Acquisire come valori normativi, i principi di libertà, giustizia, solidarietà, accettazione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Riconoscere come necessarie e rispettare le regole della convivenza civile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Riconoscere i cambiamenti climatici e proporre possibili soluzioni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Assumere responsabilità partecipativa alla vita democratica e alla risoluzione dei problemi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saperle utilizzare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360" w:lineRule="auto"/>
              <w:ind w:right="11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Conoscenze: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Comprensione di  informazioni corrette o errate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Comprensione dei comportamenti positivi nella rete per navigare in modo sicuro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Comprensione della funzione della regola e della legge nei diversi ambienti di vita quotidiana nel rispetto dell’altrui e propria privacy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 concetti di diritto/dovere, libertà responsabile, identità, pace, sviluppo umano, cooperazione, sussidiarietà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Conoscenza delle caratteristiche degli ambienti, del clima, del cambiamento climatico (desertificazione, deforestazione, uso consapevole delle risorse idriche)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Conoscenza della Carta dei Diritti e dei Doveri degli Studenti e delle Studentesse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6" w:lineRule="auto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ABILITA’: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Identificare situazioni di violazione dei diritti umani ed ipotizzare possibili rimedi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Comprendere informazioni corrette o errate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Distinguere i comportamenti positivi nella rete per navigare in modo sicuro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Fare propri i concetti di diritto/dovere, libertà responsabile, sviluppo umano, cooperazione, sussidiarietà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le cause/effetto del fenomeno dell’inquinamento ambientale del proprio territorio, di quello nazionale ed europeo nel rispetto dell’ecosistema per uno sviluppo equo e sostenibile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Proporre soluzioni creative ai problemi ambientali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6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Saper esporre oralmente e con scritture- anche digitali- le conoscenze acquisite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left="720" w:right="317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Saper usare le tecniche di base delle TIC per eseguire un compito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Assumere atteggiamenti di rispetto delle norme nelle relazioni sociali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ATTIVITA’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di lettura e sintesi di articoli e riviste specializzate o di quotidiani sulle conoscenze proposte.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Attività d’individuazione dei compiti singoli e di ricercazione con confronti ed analogie tra fenomeni culturali.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DEGLI APPRENDIMENTI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Verifiche in itinere sulle diverse conoscenze e competenze acquisite da ogni singolo alunno.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Prove comuni  per classi parallele.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0"/>
        <w:szCs w:val="20"/>
        <w:rtl w:val="0"/>
      </w:rPr>
      <w:t xml:space="preserve">I.C. </w:t>
    </w: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20"/>
        <w:szCs w:val="20"/>
        <w:rtl w:val="0"/>
      </w:rPr>
      <w:t xml:space="preserve">“Cocchia-Dalla Chiesa”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0"/>
        <w:szCs w:val="20"/>
        <w:rtl w:val="0"/>
      </w:rPr>
      <w:t xml:space="preserve"> Avellino – a.s. 2023/24</w:t>
    </w:r>
  </w:p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