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UNITI NELLA DIVERSITA’ PER VIVERE IN EUROPA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70.0" w:type="dxa"/>
        <w:tblLayout w:type="fixed"/>
        <w:tblLook w:val="0400"/>
      </w:tblPr>
      <w:tblGrid>
        <w:gridCol w:w="2320"/>
        <w:gridCol w:w="7318"/>
        <w:tblGridChange w:id="0">
          <w:tblGrid>
            <w:gridCol w:w="2320"/>
            <w:gridCol w:w="7318"/>
          </w:tblGrid>
        </w:tblGridChange>
      </w:tblGrid>
      <w:tr>
        <w:trPr>
          <w:cantSplit w:val="0"/>
          <w:trHeight w:val="1331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                                                                                                   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EDUCAZIONE CIVICA 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                                                                                                 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U. di A. disciplinare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                                                                                  Periodo: FEBBRAIO-MARZO 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“La condivisione: i muri separano, i ponti uniscono”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   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br w:type="textWrapping"/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2023 / 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Gruppo classe seconda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 sez. 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-115.0" w:type="dxa"/>
        <w:tblLayout w:type="fixed"/>
        <w:tblLook w:val="0400"/>
      </w:tblPr>
      <w:tblGrid>
        <w:gridCol w:w="3376"/>
        <w:gridCol w:w="6252"/>
        <w:tblGridChange w:id="0">
          <w:tblGrid>
            <w:gridCol w:w="3376"/>
            <w:gridCol w:w="6252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 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saperle utilizzare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Riconoscere la salute come un bene sociale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Sapersi orientare sul “valore” e sulla gestione del denaro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Conoscere i principali provvedimenti, adottati dallo Stato italiano e dalle amministrazioni locali nel proprio territorio, rispetto all’inquinamento ambientale e al risparmio energetico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classificare i rifiuti sviluppando l’attività di riciclaggio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saperle utilizzare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qualsiasi abuso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right="11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Conoscenze: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Introduzione alla conoscenza delle regole essenziali per una sana alimentazione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delle caratteristiche dei disturbi alimentari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Comprensione del “valore” e gestione del denaro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dei servizi offerti dal territorio alla persona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 dell’ambiente antropizzato, sue caratteristiche e vivibilità;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della biografia di uomini illustri che hanno speso la loro vita per il contrasto alle mafie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Identificare situazioni di violazione dei diritti umani ed ipotizzare possibili rimedi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Avere cura della propria salute mentale e fisica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informazioni corrette o errate anche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Distinguere i comportamenti positivi nella rete per navigare in modo sicuro;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Fare propri i concetti di diritto/dovere, libertà responsabile, sviluppo umano, cooperazione, sussidiarietà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le caratteristiche delle organizzazioni mafiose e malavitose e le strategie attuate dagli Stati per il loro contrasto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riconoscere la biografia di uomini illustri che hanno speso la loro vita per il contrasto alle mafie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esporre oralmente e con scritture- anche digitali- le conoscenze acquisite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Saper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Assumere atteggiamenti di rispetto delle norme nelle relazioni sociali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d’individuazione dei compiti singoli e di ricercazione con confronti ed analogie tra fenomeni culturali.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Lavoro e/ o compito di realtà  per classi parallele.</w:t>
            </w:r>
          </w:p>
        </w:tc>
      </w:tr>
      <w:tr>
        <w:trPr>
          <w:cantSplit w:val="0"/>
          <w:trHeight w:val="1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I.C. </w:t>
    </w: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20"/>
        <w:szCs w:val="20"/>
        <w:rtl w:val="0"/>
      </w:rPr>
      <w:t xml:space="preserve">“Cocchia-Dalla Chiesa”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 Avellino – a.s. 2023/24</w:t>
    </w:r>
  </w:p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