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“UNITI NELLA DIVERSITA’ PER VIVERE IN EUROPA”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Ind w:w="-70.0" w:type="dxa"/>
        <w:tblLayout w:type="fixed"/>
        <w:tblLook w:val="0400"/>
      </w:tblPr>
      <w:tblGrid>
        <w:gridCol w:w="2320"/>
        <w:gridCol w:w="7318"/>
        <w:tblGridChange w:id="0">
          <w:tblGrid>
            <w:gridCol w:w="2320"/>
            <w:gridCol w:w="7318"/>
          </w:tblGrid>
        </w:tblGridChange>
      </w:tblGrid>
      <w:tr>
        <w:trPr>
          <w:cantSplit w:val="0"/>
          <w:trHeight w:val="1331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                                                                                                   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 EDUCAZIONE CIVICA 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                                                                                                  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U. di A. disciplinare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                                                                                   Periodo: fine OTTOBRE-NOVEMBRE 2023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UNITA’ D’APPRENDIMENTO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Tematica: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 Identità, valori e appartenenza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TITOLO: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  avvicino all’altro con umanità e rispetto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   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DATI </w:t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IDENTIFICATIVI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br w:type="textWrapping"/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2023 / 2024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6"/>
                <w:szCs w:val="16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AV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Gruppo classe seconda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: _______________________________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__ sez. 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-115.0" w:type="dxa"/>
        <w:tblLayout w:type="fixed"/>
        <w:tblLook w:val="0400"/>
      </w:tblPr>
      <w:tblGrid>
        <w:gridCol w:w="4084"/>
        <w:gridCol w:w="5544"/>
        <w:tblGridChange w:id="0">
          <w:tblGrid>
            <w:gridCol w:w="4084"/>
            <w:gridCol w:w="5544"/>
          </w:tblGrid>
        </w:tblGridChange>
      </w:tblGrid>
      <w:tr>
        <w:trPr>
          <w:cantSplit w:val="0"/>
          <w:trHeight w:val="23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DISCIPLINA: EDUCAZIONE CIVICA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Ambito: Costruzione e realizzazione del sé dimensione di una cultura dell’inclusività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Conoscere sé stesso e le proprie capacità intervenendo nelle attività in modo pertinente;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Organizzare il proprio apprendimento definendone le strategie e il  metodo;</w:t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Ambito: 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Essere disposto a 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Riconoscere come necessarie e rispetta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Sapersi 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6"/>
              </w:tabs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Ambito: 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Saper classificare i rifiuti sviluppando l’attività di riciclaggio;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Conoscere le caratteristiche delle organizzazioni mafiose e malavitose e le strategie attuate dagli Stati per il loro contrasto;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Conoscere la biografia di uomini illustri che hanno speso la loro vita per il contrasto alle mafie;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Possedere capacità tecniche di base per l’uso delle TIC e saperle utilizzare per eseguire un compito.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8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Prendere coscienza della complessità di ogni identità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personale; rispettare sé e gli altri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8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Esprimere in forma personale le proprie emozioni, riconoscere quelle altrui nel rispetto degli altri e della propria privacy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80" w:hanging="360"/>
              <w:rPr>
                <w:color w:val="00000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Prendere coscienza delle dinamiche psicofisiche e affettive legate all’affermazione della propria e altrui personalità (percezione/conoscenza e coscienza del sé)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8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Descrivere in maniera approfondita ed efficace il proprio ambiente di vita, il paesaggio culturale di riferimento, cogliendo similitudini e differenze rispetto ad altri luoghi del mondo studiati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8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Essere disposto a riflettere su di sé, su comportamenti positivi verso sé e gli altri con l’uso di un linguaggio non ostile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8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Intervenire per segnalare abusi di qualunque tipo e anche quelli presenti in rete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80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0" w:lineRule="auto"/>
              <w:ind w:right="1136"/>
              <w:rPr>
                <w:rFonts w:ascii="Arial" w:cs="Arial" w:eastAsia="Arial" w:hAnsi="Arial"/>
                <w:b w:val="1"/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7"/>
                <w:szCs w:val="17"/>
                <w:rtl w:val="0"/>
              </w:rPr>
              <w:t xml:space="preserve">Conoscenze: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7"/>
                <w:szCs w:val="17"/>
                <w:rtl w:val="0"/>
              </w:rPr>
              <w:t xml:space="preserve">Riconoscere i meccanismi degli abusi di qualunque tipo e anche quelli presenti in rete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0" w:lineRule="auto"/>
              <w:ind w:right="1136"/>
              <w:jc w:val="both"/>
              <w:rPr>
                <w:rFonts w:ascii="Arial" w:cs="Arial" w:eastAsia="Arial" w:hAnsi="Arial"/>
                <w:b w:val="1"/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Conoscere i principali provvedimenti, adottati dallo Stato italiano e dalle amministrazioni locali nel proprio territorio, rispetto all’inquinamento ambientale e al risparmio energetico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Elaborare/scrivere relazioni su tematiche concordate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Conoscere l’ambiente antropizzato, sue caratteristiche e vivibilità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Conoscere le cause/effetto del fenomeno dell’inquinamento ambientale del proprio territorio, di quello nazionale ed europeo nel rispetto dell’ecosistema per uno sviluppo equo e sostenibile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0" w:lineRule="auto"/>
              <w:ind w:left="720" w:right="317" w:hanging="360"/>
              <w:jc w:val="both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Saper organizzare le informazioni con mappe, schemi, tabelle e risorse digitali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Arial" w:cs="Arial" w:eastAsia="Arial" w:hAnsi="Arial"/>
                <w:b w:val="1"/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7"/>
                <w:szCs w:val="17"/>
                <w:rtl w:val="0"/>
              </w:rPr>
              <w:t xml:space="preserve">Abilità: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7"/>
                <w:szCs w:val="17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Identificare situazioni di violazione dei diritti umani ed ipotizzare possibili rimedi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Comprendere informazioni corrette o errate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Distinguere i comportamenti positivi in diversi contesti e navigare nella rete  in modo sicuro,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7"/>
                <w:szCs w:val="17"/>
                <w:rtl w:val="0"/>
              </w:rPr>
              <w:t xml:space="preserve"> utilizzando un linguaggio non ostile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Fare propri i concetti di diritto/dovere, libertà responsabile, sviluppo umano, cooperazione, sussidiarietà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Conoscere le cause/effetto del fenomeno dell’inquinamento ambientale del proprio territorio, di quello nazionale ed europeo nel rispetto dell’ecosistema per uno sviluppo equo e sostenibile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Saper esporre oralmente e con scritture- anche digitali- le conoscenze acquisite 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" w:line="240" w:lineRule="auto"/>
              <w:ind w:left="720" w:right="317" w:hanging="360"/>
              <w:jc w:val="both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Saper usare le tecniche di base delle TIC per eseguire un compito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17"/>
                <w:szCs w:val="17"/>
              </w:rPr>
            </w:pPr>
            <w:r w:rsidDel="00000000" w:rsidR="00000000" w:rsidRPr="00000000">
              <w:rPr>
                <w:color w:val="000000"/>
                <w:sz w:val="17"/>
                <w:szCs w:val="17"/>
                <w:rtl w:val="0"/>
              </w:rPr>
              <w:t xml:space="preserve">Assumere atteggiamenti di rispetto delle norme nelle relazioni sociali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ATTIVITA’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Attività di lettura e sintesi di articoli e riviste specializzate o di quotidiani sulle conoscenze proposte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Attività d’individuazione dei compiti singoli e di ricercazione con confronti ed analogie tra fenomeni culturali.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STRATEGIE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DIDATTICHE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VERIFICA DEGLI APPRENDIMENTI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conoscenze ed abilità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Verifiche in itinere sulle diverse conoscenze e competenze acquisite da ogni singolo alunno.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jc w:val="center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0"/>
        <w:szCs w:val="20"/>
        <w:rtl w:val="0"/>
      </w:rPr>
      <w:t xml:space="preserve">I.C. </w:t>
    </w:r>
    <w:r w:rsidDel="00000000" w:rsidR="00000000" w:rsidRPr="00000000">
      <w:rPr>
        <w:rFonts w:ascii="Times New Roman" w:cs="Times New Roman" w:eastAsia="Times New Roman" w:hAnsi="Times New Roman"/>
        <w:i w:val="1"/>
        <w:color w:val="000000"/>
        <w:sz w:val="20"/>
        <w:szCs w:val="20"/>
        <w:rtl w:val="0"/>
      </w:rPr>
      <w:t xml:space="preserve">“Cocchia-Dalla Chiesa”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0"/>
        <w:szCs w:val="20"/>
        <w:rtl w:val="0"/>
      </w:rPr>
      <w:t xml:space="preserve"> Avellino – a.s. 2023/24</w:t>
    </w:r>
  </w:p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